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1AA" w:rsidRDefault="00C951AA" w:rsidP="00C951A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</w:p>
    <w:p w:rsidR="00C951AA" w:rsidRDefault="00C951AA" w:rsidP="00C951AA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C951AA" w:rsidRDefault="00C951AA" w:rsidP="00C951AA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CA5F5F">
        <w:rPr>
          <w:rFonts w:ascii="Times New Roman" w:hAnsi="Times New Roman"/>
          <w:smallCaps/>
          <w:sz w:val="24"/>
          <w:szCs w:val="24"/>
        </w:rPr>
        <w:t>2022-2025</w:t>
      </w:r>
    </w:p>
    <w:p w:rsidR="00C951AA" w:rsidRDefault="00C951AA" w:rsidP="00C951AA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C951AA" w:rsidRDefault="00CA5F5F" w:rsidP="00C951AA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Rok akademicki   2023/2024</w:t>
      </w:r>
      <w:bookmarkStart w:id="0" w:name="_GoBack"/>
      <w:bookmarkEnd w:id="0"/>
    </w:p>
    <w:p w:rsidR="00C951AA" w:rsidRDefault="00C951AA" w:rsidP="00C951AA">
      <w:pPr>
        <w:spacing w:after="0" w:line="240" w:lineRule="auto"/>
        <w:rPr>
          <w:rFonts w:ascii="Corbel" w:hAnsi="Corbel"/>
          <w:sz w:val="24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 dziejów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 1.27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Filozofia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Stacjonarne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II/semestr III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Przedmiot kierunkowy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C951AA" w:rsidTr="00C951A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ytania"/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Odpowiedzi"/>
              <w:spacing w:before="100" w:beforeAutospacing="1" w:after="100" w:afterAutospacing="1"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Dr Ryszard Wójtowicz</w:t>
            </w:r>
          </w:p>
        </w:tc>
      </w:tr>
    </w:tbl>
    <w:p w:rsidR="00C951AA" w:rsidRDefault="00C951AA" w:rsidP="00C951A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C951AA" w:rsidRDefault="00C951AA" w:rsidP="00C951AA">
      <w:pPr>
        <w:pStyle w:val="Podpunkty"/>
        <w:ind w:left="0"/>
        <w:rPr>
          <w:rFonts w:ascii="Corbel" w:hAnsi="Corbel"/>
          <w:sz w:val="24"/>
          <w:szCs w:val="24"/>
        </w:rPr>
      </w:pPr>
    </w:p>
    <w:p w:rsidR="00C951AA" w:rsidRDefault="00C951AA" w:rsidP="00C951A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951AA" w:rsidRDefault="00C951AA" w:rsidP="00C951A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882"/>
        <w:gridCol w:w="734"/>
        <w:gridCol w:w="863"/>
        <w:gridCol w:w="755"/>
        <w:gridCol w:w="784"/>
        <w:gridCol w:w="681"/>
        <w:gridCol w:w="896"/>
        <w:gridCol w:w="1116"/>
        <w:gridCol w:w="1323"/>
      </w:tblGrid>
      <w:tr w:rsidR="00C951AA" w:rsidTr="00C951A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Semestr</w:t>
            </w:r>
          </w:p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pkt. ECTS</w:t>
            </w:r>
          </w:p>
        </w:tc>
      </w:tr>
      <w:tr w:rsidR="00C951AA" w:rsidTr="00C951A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951AA" w:rsidTr="00C951A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ntralniewrubryce"/>
              <w:spacing w:before="0"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C951AA" w:rsidRDefault="00C951AA" w:rsidP="00C951A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951AA" w:rsidRDefault="00C951AA" w:rsidP="00C951A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951AA" w:rsidRDefault="00C951AA" w:rsidP="00C951A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C951AA" w:rsidRDefault="00C951AA" w:rsidP="00C951AA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x  ZAJĘCIA REALIZWOWANE W FORMIE TRADYCYJNEJ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</w:t>
      </w:r>
    </w:p>
    <w:p w:rsidR="00C951AA" w:rsidRDefault="00C951AA" w:rsidP="00C951AA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>
        <w:rPr>
          <w:szCs w:val="24"/>
        </w:rPr>
        <w:t>zaliczenie z oceną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40" w:after="40" w:line="276" w:lineRule="auto"/>
              <w:rPr>
                <w:b w:val="0"/>
              </w:rPr>
            </w:pPr>
            <w:r>
              <w:rPr>
                <w:b w:val="0"/>
              </w:rPr>
              <w:lastRenderedPageBreak/>
              <w:t>Student powinien posiadać wiedzę, umiejętności uczenia się oraz kompetencje społeczne na poziomie zaliczonego pierwszego roku studiów pierwszego stopnia.</w:t>
            </w:r>
          </w:p>
          <w:p w:rsidR="00C951AA" w:rsidRDefault="00C951AA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szCs w:val="24"/>
        </w:rPr>
      </w:pPr>
      <w:r>
        <w:rPr>
          <w:szCs w:val="24"/>
        </w:rPr>
        <w:t>3. cele, efekty uczenia się , treści Programowe i stosowane metody Dydaktyczne</w:t>
      </w:r>
    </w:p>
    <w:p w:rsidR="00C951AA" w:rsidRDefault="00C951AA" w:rsidP="00C951AA">
      <w:pPr>
        <w:pStyle w:val="Punktygwne"/>
        <w:spacing w:before="0" w:after="0"/>
        <w:rPr>
          <w:szCs w:val="24"/>
        </w:rPr>
      </w:pPr>
    </w:p>
    <w:p w:rsidR="00C951AA" w:rsidRDefault="00C951AA" w:rsidP="00C951AA">
      <w:pPr>
        <w:pStyle w:val="Podpunkty"/>
        <w:rPr>
          <w:sz w:val="24"/>
          <w:szCs w:val="24"/>
        </w:rPr>
      </w:pPr>
      <w:r>
        <w:rPr>
          <w:sz w:val="24"/>
          <w:szCs w:val="24"/>
        </w:rPr>
        <w:t>3.1 Cele przedmiotu</w:t>
      </w:r>
    </w:p>
    <w:p w:rsidR="00C951AA" w:rsidRDefault="00C951AA" w:rsidP="00C951AA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951AA" w:rsidTr="00C95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Celem przedmiotu jest m.in. wprowadzenie i wyjaśnienie podstawowych zagadnień związanych z filozofią dziejów, analiza zasadności wybranych terminów filozofii dziejów w różnych epokach i formacjach społeczno-kulturowych, analiza wybranych kierunków i poruszanych w ich ramach problemów</w:t>
            </w:r>
          </w:p>
        </w:tc>
      </w:tr>
      <w:tr w:rsidR="00C951AA" w:rsidTr="00C95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Cele"/>
              <w:spacing w:before="40" w:after="40" w:line="276" w:lineRule="auto"/>
              <w:ind w:left="0" w:firstLine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Przedmiot powinien dostarczyć studentom wiedzę odnośnie różnych metod interpretacyjnych, wykształcić  umiejętność racjonalnej rekonstrukcji, krytycznej i samodzielnej interpretacji tekstów źródłowych z zakresu przedmiotu</w:t>
            </w:r>
          </w:p>
        </w:tc>
      </w:tr>
      <w:tr w:rsidR="00C951AA" w:rsidTr="00C95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Celem przedmiotu jest także zapoznanie studenta z najważniejszymi i najnowszymi opracowaniami z zakresu filozofii dziejów. Przedmiot powinien dostarczyć studentom zasobu podstawowych pojęć, ułatwiających samodzielne studiowanie literatury z zakresu filozofii dziejów.</w:t>
            </w:r>
          </w:p>
        </w:tc>
      </w:tr>
    </w:tbl>
    <w:p w:rsidR="00C951AA" w:rsidRDefault="00C951AA" w:rsidP="00C951AA">
      <w:pPr>
        <w:pStyle w:val="Punktygwne"/>
        <w:spacing w:before="0" w:after="0"/>
        <w:jc w:val="both"/>
        <w:rPr>
          <w:rFonts w:ascii="Corbel" w:hAnsi="Corbel"/>
          <w:b w:val="0"/>
          <w:color w:val="000000"/>
          <w:szCs w:val="24"/>
        </w:rPr>
      </w:pPr>
    </w:p>
    <w:p w:rsidR="00C951AA" w:rsidRDefault="00C951AA" w:rsidP="00C951A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951AA" w:rsidRDefault="00C951AA" w:rsidP="00C951A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7"/>
        <w:gridCol w:w="1835"/>
      </w:tblGrid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EK</w:t>
            </w:r>
            <w:r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K_W01,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Wiedza: absolwent zna i rozumie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 zaawansowanym stopniu: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Cs w:val="24"/>
              </w:rPr>
              <w:t>miejsce i znaczenie filozofii w relacji do nauk, jej specyfikę przedmiotową i metodologiczną, terminologię filozoficzną w języku polskim, a w wybranym języku obcym - terminologię na poziomie podstawowym; zależności między subdyscyplinami filozoficznymi,  metody badawcze i strategie argumentacyjne właściwe dla subdyscyplin filozoficznych, oraz główne kierunki w ich obrębie; metody interpretacji tekstu filozoficznego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P6S_WG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szCs w:val="24"/>
              </w:rPr>
              <w:t>K_W02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Wiedza: absolwent zna i rozumie w zaawansowanym stopniu: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lastRenderedPageBreak/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P6S_WG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szCs w:val="24"/>
              </w:rPr>
              <w:t>K_U01,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Umiejętności: absolwent potrafi:</w:t>
            </w:r>
            <w:r>
              <w:rPr>
                <w:b w:val="0"/>
              </w:rPr>
              <w:t xml:space="preserve">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K_U02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Umiejętności: absolwent potrafi</w:t>
            </w:r>
            <w:r>
              <w:rPr>
                <w:rFonts w:ascii="Corbel" w:hAnsi="Corbel"/>
                <w:szCs w:val="24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951AA" w:rsidRDefault="00C95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Cs w:val="24"/>
              </w:rPr>
              <w:t>- posługiwać się językiem obcym na poziomie B2 ESOKJ, pisać proste rozprawy z samodzielnie</w:t>
            </w:r>
            <w:r>
              <w:rPr>
                <w:b w:val="0"/>
              </w:rPr>
              <w:t xml:space="preserve"> dobraną literaturą, tłumaczyć prosty tekst filozoficzny na wybrany język obcy, tłumaczyć średnio trudny tekst filozoficzny z wybranego języka obcego.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AA" w:rsidRDefault="00C951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K_K02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Kompetencje społeczne: absolwent jest gotów do: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>- zaangażowanego uczestnictwa w życiu społecznym ze świadomością znaczenia refleksji humanistycznej dla kształtowania więzi społecznych; myślenia i działania w sposób przedsiębiorczy.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P6S_KO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szCs w:val="24"/>
              </w:rPr>
            </w:pPr>
          </w:p>
        </w:tc>
      </w:tr>
      <w:tr w:rsidR="00C951AA" w:rsidTr="00C951A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K_K03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t>- 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C951AA" w:rsidRDefault="00C951AA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3.3 Treści programowe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951AA" w:rsidRDefault="00C951AA" w:rsidP="00C951A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wykładu </w:t>
      </w:r>
    </w:p>
    <w:p w:rsidR="00C951AA" w:rsidRDefault="00C951AA" w:rsidP="00C951AA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1. Przedmiot filozofii dziejów (2.godz.)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Historiozofia jako dział filozofii. Historiozofia a filozofia społeczna i antropologia filozoficzna. Historiozofia a historiografia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Filozofia dziejów a historia (2.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Cel historiozofii - określenie kierunku rozwoju, waloryzacja kierunku dziejów i poszukiwanie sensu dziejów. Historia jako res gestae.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3.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Historiozofia a historyzm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historyzmu, dzieje a historia, historyka, historiografia i historiozofia, Św. Augustyn a początki historiozofii.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4.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Założenia teoretyczne historiozofii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 czasu. Czas magiczny (religijny), naukowy, polityczny, kulturowy i czas historyczny. Koncepcja czasu historycznego a linearyzm. Strukturalizacja (periodyzacja) czasu historycznego i jego wartościowanie. Kwestia podmiotu procesu dziejowego. Determinanty dziejów.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5.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Koncepcje kołowrotu dziejowego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Naturalizm kosmiczny - cykliczny czas a dzieje. Poglądy Anaksymandra, Heraklita, Platona (naprzemienny rozwój i regres) i stoików (Chryzypa głównie).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Teorie degeneracji dziejowej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Mit złotego wieku. Upadek ludzkości jako modus historii. Poglądy Hezjoda, Platona, Polibiusza, Lukrecjusza i J.J. Rouseau.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7.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Historiozofie cywilizacyjne. Huntington i Koneczny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Dzieje jako historia międzycywilizacyjnych konfrontacji. Prawa dziejowe. Poglądy Huntingtona, Konecznego i Toynbee'ego.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>8.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Globalizacja - perspektywa historiozoficzna (1.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globalizacji. Zakres procesów globalizacyjnych. Globalizacja jako dziejowy przełom i jego prospektywne wartościowanie.</w:t>
            </w:r>
          </w:p>
        </w:tc>
      </w:tr>
    </w:tbl>
    <w:p w:rsidR="00C951AA" w:rsidRDefault="00C951AA" w:rsidP="00C951AA">
      <w:pPr>
        <w:spacing w:after="0" w:line="240" w:lineRule="auto"/>
        <w:rPr>
          <w:rFonts w:ascii="Corbel" w:hAnsi="Corbel"/>
          <w:sz w:val="24"/>
          <w:szCs w:val="24"/>
        </w:rPr>
      </w:pPr>
    </w:p>
    <w:p w:rsidR="00C951AA" w:rsidRDefault="00C951AA" w:rsidP="00C951A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:rsidR="00C951AA" w:rsidRDefault="00C951AA" w:rsidP="00C951A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lastRenderedPageBreak/>
              <w:t>1.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Teologia dziejów. Św. Augustyn (2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Linearna koncepcja czasu. Czas historyczny a prowidencjalizm. Stworzenie, wcielenie, odkupienie i zbawienie jako kategorie historiozoficzne. Państwo Boże i państwo Ziemskie. Teologia dziejów Augustyna, Joachima da Fiore i Bousseta.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Linearystyczne koncepcje historiozoficzne (2.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Przedaugustiańskie linearne filozofie dziejów. Poglądy Seneki, Lukrecjusza i Witruwiusza. Początki idei postępu.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Linearyzm dziejowy zlaicyzowany (2.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Ludzkość jako autonomiczny podmiot dziejów. Idea postępu historycznego. Vica koncepcja historiozofii zlaicyzowanej i postępu spiralnego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francuska filozofia dziejów postępu (2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Idea postępu jako kumulacji ludzkiej wiedzy. Postęp a społeczne doskonalenie się ludzkości. Wiedza jako warunek rozwoju. Poglądy Turgota i Condorceta.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XVIII wieczna niemiecka historiozofia postępu (2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Postęp jako wyraz moralno-społecznego rozwoju i doskonalenia się ludzkości. Poglądy Kanta i Fichtego.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Absolutystyczna historiozofia Hegla (2 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Filozofia ducha obiektywnego jako domena historiozofii. Historia jako rozwój świadomości wolności. Weltgeist jako prawidłowość historii. Kwestia tzw. chytrego rozumu i ludzkiej autonomii. Dialektyka procesu historycznego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Materializm historyczny marksizmu (1.godz.)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Proces historyczny jako wyraz walki klasowej. Pojecie klasy społecznej i jej świadomości. Od niewolnictwa do komunizmu. Schemat procesu dziejowego i jego obiektywność. Rola jednostki w historii.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Historiozofie cywilizacyjne. Spengler (1godz.)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Kultura (cywilizacja) jako jedyny i ostateczny podmiot dziejów. Dzieje jako historia narodzin i upadku poszczególnych kultur. Ujęcie biologistyczne Spenglera.</w:t>
            </w:r>
          </w:p>
        </w:tc>
      </w:tr>
      <w:tr w:rsidR="00C951AA" w:rsidTr="00C951A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Katastrofizm (1. godz.)</w:t>
            </w:r>
          </w:p>
          <w:p w:rsidR="00C951AA" w:rsidRDefault="00C951AA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Pojęcie katastrofizmu. Katastrofizm jako pesymistyczna filozofia dziejów. Katastrofizm konsekwentny totalny i partykularny oraz katastrofizm alternatywny totalny i partykularny.</w:t>
            </w: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:</w:t>
      </w:r>
      <w:r>
        <w:rPr>
          <w:rFonts w:ascii="Corbel" w:hAnsi="Corbel"/>
          <w:i/>
          <w:sz w:val="20"/>
          <w:szCs w:val="20"/>
        </w:rPr>
        <w:t xml:space="preserve">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jc w:val="both"/>
        <w:rPr>
          <w:b w:val="0"/>
          <w:i/>
          <w:szCs w:val="24"/>
        </w:rPr>
      </w:pPr>
      <w:r>
        <w:rPr>
          <w:b w:val="0"/>
          <w:i/>
          <w:szCs w:val="24"/>
        </w:rPr>
        <w:t xml:space="preserve">Wykład: </w:t>
      </w:r>
      <w:r>
        <w:rPr>
          <w:i/>
          <w:szCs w:val="24"/>
        </w:rPr>
        <w:t>wykład problemowy</w:t>
      </w:r>
    </w:p>
    <w:p w:rsidR="00C951AA" w:rsidRDefault="00C951AA" w:rsidP="00C951AA">
      <w:pPr>
        <w:pStyle w:val="Punktygwne"/>
        <w:spacing w:before="0" w:after="0"/>
        <w:jc w:val="both"/>
        <w:rPr>
          <w:i/>
          <w:szCs w:val="24"/>
        </w:rPr>
      </w:pPr>
      <w:r>
        <w:rPr>
          <w:b w:val="0"/>
          <w:i/>
          <w:szCs w:val="24"/>
        </w:rPr>
        <w:t xml:space="preserve">Ćwiczenia: </w:t>
      </w:r>
      <w:r>
        <w:rPr>
          <w:i/>
          <w:szCs w:val="24"/>
        </w:rPr>
        <w:t xml:space="preserve">analiza tekstów z dyskusją, </w:t>
      </w:r>
    </w:p>
    <w:p w:rsidR="00C951AA" w:rsidRDefault="00C951AA" w:rsidP="00C951A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C951AA" w:rsidRDefault="00C951AA" w:rsidP="00C951A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017"/>
        <w:gridCol w:w="2085"/>
      </w:tblGrid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Symbol efektu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color w:val="00000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Metody oceny efektów uczenia się</w:t>
            </w:r>
          </w:p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Forma zajęć dydaktycznych </w:t>
            </w:r>
          </w:p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(w, ćw, …)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K_W01, K_W02 K_U01, K_U02 K_K02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jc w:val="center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Zaliczenie Ustne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Wykład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K_W02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K_U01,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K_U02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  <w:tr w:rsidR="00C951AA" w:rsidTr="00C951A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tabs>
                <w:tab w:val="left" w:leader="dot" w:pos="39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K_K02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color w:val="000000"/>
                <w:szCs w:val="24"/>
              </w:rPr>
              <w:t>obserwacja w trakcie zajęć, kolokwium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951AA" w:rsidTr="00C951A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</w:rPr>
            </w:pPr>
            <w:r>
              <w:t xml:space="preserve">Wykład: </w:t>
            </w:r>
            <w:r>
              <w:rPr>
                <w:b w:val="0"/>
              </w:rPr>
              <w:t>uczestnictwo w wykładzie, aktywność własna studenta,esej;</w:t>
            </w:r>
          </w:p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t xml:space="preserve">Ćwiczenia: </w:t>
            </w:r>
            <w:r>
              <w:rPr>
                <w:b w:val="0"/>
              </w:rPr>
              <w:t>Indywidualna lektura, analiza tekstów, ocena aktywności własnej studenta (udział w dyskusji). Kolokwium pisemne z oceną.</w:t>
            </w:r>
          </w:p>
        </w:tc>
      </w:tr>
    </w:tbl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Inne z udziałem nauczyciela akademickiego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15hh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Godziny nie kontaktowe – praca własna studenta</w:t>
            </w:r>
          </w:p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45hh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90h</w:t>
            </w:r>
          </w:p>
        </w:tc>
      </w:tr>
      <w:tr w:rsidR="00C951AA" w:rsidTr="00C951A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951AA" w:rsidRDefault="00C951AA" w:rsidP="00C951AA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951AA" w:rsidTr="00C951A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C951AA" w:rsidTr="00C951A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C951AA" w:rsidRDefault="00C951AA" w:rsidP="00C951A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51AA" w:rsidTr="00C951A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 R. Dupkala, Wstęp do filozofii dziejów, Heliodor, Warszawa 2009;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3. Z. Kuderowicz</w:t>
            </w:r>
            <w:r>
              <w:rPr>
                <w:b w:val="0"/>
                <w:i/>
                <w:szCs w:val="24"/>
              </w:rPr>
              <w:t>, Filozofia dziejów;</w:t>
            </w:r>
            <w:r>
              <w:rPr>
                <w:b w:val="0"/>
                <w:szCs w:val="24"/>
              </w:rPr>
              <w:t xml:space="preserve"> Warszawa 1983.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4. A. Ochocki, </w:t>
            </w:r>
            <w:r>
              <w:rPr>
                <w:b w:val="0"/>
                <w:i/>
                <w:szCs w:val="24"/>
              </w:rPr>
              <w:t>Filozofia i burze dziejowe</w:t>
            </w:r>
            <w:r>
              <w:rPr>
                <w:b w:val="0"/>
                <w:szCs w:val="24"/>
              </w:rPr>
              <w:t xml:space="preserve">, Warszawa 2001;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5. L. Gawor, </w:t>
            </w:r>
            <w:r>
              <w:rPr>
                <w:b w:val="0"/>
                <w:i/>
                <w:szCs w:val="24"/>
              </w:rPr>
              <w:t>Katastrofizm w polskiej filozofii i myśli społecznej</w:t>
            </w:r>
            <w:r>
              <w:rPr>
                <w:b w:val="0"/>
                <w:szCs w:val="24"/>
              </w:rPr>
              <w:t xml:space="preserve">, Lublin 1999;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6. L. Gawor, Szkice o cywilizacji, UR, Rzeszów 2009;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7. Z. Krasnodębski, Upadek idei postępu, Warszawa 1991;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8. Czarnecki ZJ., (red), </w:t>
            </w:r>
            <w:r>
              <w:rPr>
                <w:b w:val="0"/>
                <w:i/>
                <w:szCs w:val="24"/>
              </w:rPr>
              <w:t>W kręgu pesymizmu historycznego</w:t>
            </w:r>
            <w:r>
              <w:rPr>
                <w:b w:val="0"/>
                <w:szCs w:val="24"/>
              </w:rPr>
              <w:t>, Lublin 1992;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9. Z.J. Czarnecki, </w:t>
            </w:r>
            <w:r>
              <w:rPr>
                <w:b w:val="0"/>
                <w:i/>
                <w:szCs w:val="24"/>
              </w:rPr>
              <w:t>Wartości a historia</w:t>
            </w:r>
            <w:r>
              <w:rPr>
                <w:b w:val="0"/>
                <w:szCs w:val="24"/>
              </w:rPr>
              <w:t xml:space="preserve">, Lublin 1992; </w:t>
            </w:r>
          </w:p>
          <w:p w:rsidR="00C951AA" w:rsidRDefault="00C951AA">
            <w:pPr>
              <w:pStyle w:val="Punktygwne"/>
              <w:spacing w:after="0" w:line="36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10. Szacki J., </w:t>
            </w:r>
            <w:r>
              <w:rPr>
                <w:b w:val="0"/>
                <w:i/>
                <w:szCs w:val="24"/>
              </w:rPr>
              <w:t>Spotkania z utopią</w:t>
            </w:r>
            <w:r>
              <w:rPr>
                <w:b w:val="0"/>
                <w:szCs w:val="24"/>
              </w:rPr>
              <w:t xml:space="preserve">, Warszawa 1980; </w:t>
            </w:r>
          </w:p>
          <w:p w:rsidR="00C951AA" w:rsidRDefault="00C951AA">
            <w:pPr>
              <w:pStyle w:val="Punktygwne"/>
              <w:spacing w:before="0" w:after="0" w:line="276" w:lineRule="auto"/>
              <w:jc w:val="both"/>
              <w:rPr>
                <w:b w:val="0"/>
                <w:sz w:val="22"/>
              </w:rPr>
            </w:pPr>
          </w:p>
        </w:tc>
      </w:tr>
      <w:tr w:rsidR="00C951AA" w:rsidTr="00C951A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AA" w:rsidRDefault="00C951AA">
            <w:pPr>
              <w:pStyle w:val="Punktygwne"/>
              <w:spacing w:before="0" w:after="0" w:line="276" w:lineRule="auto"/>
              <w:rPr>
                <w:b w:val="0"/>
                <w:i/>
                <w:color w:val="000000"/>
                <w:sz w:val="22"/>
              </w:rPr>
            </w:pPr>
            <w:r>
              <w:rPr>
                <w:b w:val="0"/>
                <w:sz w:val="22"/>
              </w:rPr>
              <w:t xml:space="preserve">Literatura uzupełniająca: </w:t>
            </w:r>
          </w:p>
          <w:p w:rsidR="00C951AA" w:rsidRDefault="00C951AA" w:rsidP="003102D1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L. Zdybel,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Idea spisku i teorie spiskowej w świetle badań historycznych</w:t>
            </w:r>
            <w:r>
              <w:rPr>
                <w:rFonts w:ascii="Times New Roman" w:hAnsi="Times New Roman"/>
                <w:sz w:val="24"/>
                <w:szCs w:val="24"/>
              </w:rPr>
              <w:t>, Lublin 2002;</w:t>
            </w:r>
          </w:p>
          <w:p w:rsidR="00C951AA" w:rsidRDefault="00C951AA" w:rsidP="003102D1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J. Litwin,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Dylematy regresu i postępu</w:t>
            </w:r>
            <w:r>
              <w:rPr>
                <w:rFonts w:ascii="Times New Roman" w:hAnsi="Times New Roman"/>
                <w:sz w:val="24"/>
                <w:szCs w:val="24"/>
              </w:rPr>
              <w:t>, Warszawa 1973;</w:t>
            </w:r>
          </w:p>
          <w:p w:rsidR="00C951AA" w:rsidRDefault="00C951AA" w:rsidP="003102D1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Russel,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Dzieje filozofii zachodu i jej związki z rzeczywistością polityczno-społeczną od czasów najdawniejszych do dnia dzisiejszego</w:t>
            </w:r>
            <w:r>
              <w:rPr>
                <w:rFonts w:ascii="Times New Roman" w:hAnsi="Times New Roman"/>
                <w:sz w:val="24"/>
                <w:szCs w:val="24"/>
              </w:rPr>
              <w:t>, tłum. t. Banaszak, A. Lipszyc, M. Szczubiałka, Warszawa 2000;</w:t>
            </w:r>
          </w:p>
          <w:p w:rsidR="00C951AA" w:rsidRDefault="00C951AA">
            <w:pPr>
              <w:spacing w:after="0" w:line="240" w:lineRule="auto"/>
              <w:ind w:left="720"/>
              <w:jc w:val="both"/>
            </w:pPr>
          </w:p>
        </w:tc>
      </w:tr>
    </w:tbl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C951AA" w:rsidRDefault="00C951AA" w:rsidP="00C951A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C951AA" w:rsidRDefault="00C951AA" w:rsidP="00C951AA"/>
    <w:p w:rsidR="008E0EEA" w:rsidRDefault="008E0EEA"/>
    <w:sectPr w:rsidR="008E0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FE3" w:rsidRDefault="00967FE3" w:rsidP="00C951AA">
      <w:pPr>
        <w:spacing w:after="0" w:line="240" w:lineRule="auto"/>
      </w:pPr>
      <w:r>
        <w:separator/>
      </w:r>
    </w:p>
  </w:endnote>
  <w:endnote w:type="continuationSeparator" w:id="0">
    <w:p w:rsidR="00967FE3" w:rsidRDefault="00967FE3" w:rsidP="00C95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FE3" w:rsidRDefault="00967FE3" w:rsidP="00C951AA">
      <w:pPr>
        <w:spacing w:after="0" w:line="240" w:lineRule="auto"/>
      </w:pPr>
      <w:r>
        <w:separator/>
      </w:r>
    </w:p>
  </w:footnote>
  <w:footnote w:type="continuationSeparator" w:id="0">
    <w:p w:rsidR="00967FE3" w:rsidRDefault="00967FE3" w:rsidP="00C951AA">
      <w:pPr>
        <w:spacing w:after="0" w:line="240" w:lineRule="auto"/>
      </w:pPr>
      <w:r>
        <w:continuationSeparator/>
      </w:r>
    </w:p>
  </w:footnote>
  <w:footnote w:id="1">
    <w:p w:rsidR="00C951AA" w:rsidRDefault="00C951AA" w:rsidP="00C951A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CB6D2B"/>
    <w:multiLevelType w:val="hybridMultilevel"/>
    <w:tmpl w:val="346C5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2E76FC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AA"/>
    <w:rsid w:val="004D40F6"/>
    <w:rsid w:val="00570EEB"/>
    <w:rsid w:val="008D38CC"/>
    <w:rsid w:val="008E0EEA"/>
    <w:rsid w:val="00967FE3"/>
    <w:rsid w:val="009B6A65"/>
    <w:rsid w:val="00B85C3F"/>
    <w:rsid w:val="00C951AA"/>
    <w:rsid w:val="00CA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B1CF"/>
  <w15:docId w15:val="{D3351805-A0EC-48AB-82A9-7B58A48C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1A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51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51AA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C951A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951AA"/>
    <w:pPr>
      <w:ind w:left="720"/>
      <w:contextualSpacing/>
    </w:pPr>
  </w:style>
  <w:style w:type="paragraph" w:customStyle="1" w:styleId="Punktygwne">
    <w:name w:val="Punkty główne"/>
    <w:basedOn w:val="Normalny"/>
    <w:rsid w:val="00C951A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951A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951A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951A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951A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951A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951A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951A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951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951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1574</Words>
  <Characters>9444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rycho</dc:creator>
  <cp:lastModifiedBy>Użytkownik systemu Windows</cp:lastModifiedBy>
  <cp:revision>6</cp:revision>
  <cp:lastPrinted>2022-12-08T11:12:00Z</cp:lastPrinted>
  <dcterms:created xsi:type="dcterms:W3CDTF">2022-12-08T11:12:00Z</dcterms:created>
  <dcterms:modified xsi:type="dcterms:W3CDTF">2024-08-13T09:34:00Z</dcterms:modified>
</cp:coreProperties>
</file>